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15" w:rsidRDefault="00804AF7">
      <w:pPr>
        <w:spacing w:after="0" w:line="240" w:lineRule="auto"/>
        <w:jc w:val="right"/>
        <w:rPr>
          <w:sz w:val="22"/>
          <w:szCs w:val="22"/>
        </w:rPr>
      </w:pPr>
      <w:r>
        <w:rPr>
          <w:noProof/>
        </w:rPr>
        <w:drawing>
          <wp:anchor distT="0" distB="0" distL="0" distR="0" simplePos="0" relativeHeight="251658240" behindDoc="1" locked="0" layoutInCell="1" hidden="0" allowOverlap="1">
            <wp:simplePos x="0" y="0"/>
            <wp:positionH relativeFrom="column">
              <wp:posOffset>-899159</wp:posOffset>
            </wp:positionH>
            <wp:positionV relativeFrom="paragraph">
              <wp:posOffset>-469264</wp:posOffset>
            </wp:positionV>
            <wp:extent cx="7564755" cy="4453255"/>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564755" cy="4453255"/>
                    </a:xfrm>
                    <a:prstGeom prst="rect">
                      <a:avLst/>
                    </a:prstGeom>
                    <a:ln/>
                  </pic:spPr>
                </pic:pic>
              </a:graphicData>
            </a:graphic>
          </wp:anchor>
        </w:drawing>
      </w:r>
    </w:p>
    <w:p w:rsidR="00012015" w:rsidRDefault="00012015">
      <w:pPr>
        <w:spacing w:after="0" w:line="240" w:lineRule="auto"/>
        <w:jc w:val="right"/>
        <w:rPr>
          <w:sz w:val="22"/>
          <w:szCs w:val="22"/>
        </w:rPr>
      </w:pPr>
    </w:p>
    <w:p w:rsidR="00012015" w:rsidRDefault="00804AF7">
      <w:pPr>
        <w:spacing w:after="0" w:line="240" w:lineRule="auto"/>
        <w:jc w:val="right"/>
        <w:rPr>
          <w:sz w:val="22"/>
          <w:szCs w:val="22"/>
        </w:rPr>
      </w:pPr>
      <w:r>
        <w:rPr>
          <w:sz w:val="22"/>
          <w:szCs w:val="22"/>
        </w:rPr>
        <w:br/>
      </w:r>
      <w:r>
        <w:rPr>
          <w:sz w:val="22"/>
          <w:szCs w:val="22"/>
        </w:rPr>
        <w:br/>
      </w:r>
    </w:p>
    <w:p w:rsidR="00012015" w:rsidRDefault="00804AF7">
      <w:pPr>
        <w:spacing w:after="0"/>
        <w:jc w:val="center"/>
        <w:rPr>
          <w:b/>
          <w:color w:val="A50358"/>
          <w:sz w:val="36"/>
          <w:szCs w:val="36"/>
        </w:rPr>
      </w:pPr>
      <w:r>
        <w:rPr>
          <w:b/>
          <w:color w:val="A50358"/>
          <w:sz w:val="36"/>
          <w:szCs w:val="36"/>
        </w:rPr>
        <w:t xml:space="preserve">Mazowsze - tu zaczyna się etyczny biznes </w:t>
      </w:r>
      <w:r>
        <w:rPr>
          <w:b/>
          <w:color w:val="A50358"/>
          <w:sz w:val="36"/>
          <w:szCs w:val="36"/>
        </w:rPr>
        <w:br/>
        <w:t>- XXVI edycja programu Przedsiębiorstwo Fair Play</w:t>
      </w:r>
    </w:p>
    <w:p w:rsidR="00012015" w:rsidRDefault="00012015">
      <w:pPr>
        <w:spacing w:after="0"/>
        <w:jc w:val="center"/>
        <w:rPr>
          <w:b/>
          <w:color w:val="A50358"/>
          <w:sz w:val="20"/>
          <w:szCs w:val="20"/>
        </w:rPr>
      </w:pPr>
    </w:p>
    <w:p w:rsidR="00012015" w:rsidRDefault="00804AF7">
      <w:pPr>
        <w:spacing w:before="240"/>
        <w:jc w:val="right"/>
        <w:rPr>
          <w:i/>
        </w:rPr>
      </w:pPr>
      <w:r>
        <w:rPr>
          <w:i/>
          <w:sz w:val="20"/>
          <w:szCs w:val="20"/>
        </w:rPr>
        <w:t xml:space="preserve">Informacja prasowa: </w:t>
      </w:r>
      <w:r w:rsidR="006E4C51">
        <w:rPr>
          <w:i/>
          <w:sz w:val="20"/>
          <w:szCs w:val="20"/>
        </w:rPr>
        <w:t>10 maja</w:t>
      </w:r>
      <w:bookmarkStart w:id="0" w:name="_GoBack"/>
      <w:bookmarkEnd w:id="0"/>
      <w:r>
        <w:rPr>
          <w:i/>
          <w:sz w:val="20"/>
          <w:szCs w:val="20"/>
        </w:rPr>
        <w:t xml:space="preserve"> 2023 r</w:t>
      </w:r>
      <w:r>
        <w:rPr>
          <w:i/>
          <w:sz w:val="18"/>
          <w:szCs w:val="18"/>
        </w:rPr>
        <w:t>.</w:t>
      </w:r>
    </w:p>
    <w:p w:rsidR="00012015" w:rsidRDefault="00804AF7">
      <w:pPr>
        <w:jc w:val="both"/>
        <w:rPr>
          <w:b/>
        </w:rPr>
      </w:pPr>
      <w:r>
        <w:rPr>
          <w:b/>
        </w:rPr>
        <w:t xml:space="preserve">Program Przedsiębiorstwo Fair Play to organizowane na szeroką skalę przedsięwzięcie, </w:t>
      </w:r>
      <w:r>
        <w:rPr>
          <w:b/>
        </w:rPr>
        <w:br/>
        <w:t xml:space="preserve">które już od ponad 25 lat wskazuje firmom z całej Polsce wartości, jakimi najlepiej kierować się w swoich działaniach. W tak dynamicznie zmieniającym się świecie coraz trudniejsze okazuje się podejmowanie słusznych decyzji i dokonywanie właściwych wyborów bez wdrożenia dobrego systemu wartości i stałego przestrzegania ustalonych zasad działania. Doskonale zdają sobie z tego sprawę firmy z województwa mazowieckiego, które od wielu lat przystępują do programu i sięgają po najwyższe wyróżnienia.  </w:t>
      </w:r>
    </w:p>
    <w:p w:rsidR="00012015" w:rsidRDefault="00804AF7">
      <w:pPr>
        <w:jc w:val="both"/>
        <w:rPr>
          <w:b/>
          <w:highlight w:val="yellow"/>
        </w:rPr>
      </w:pPr>
      <w:r>
        <w:rPr>
          <w:b/>
        </w:rPr>
        <w:t>Tegoroczną edycję programu swoim patronatem objął Marszałek Województwa Mazowieckiego – Adam Struzik.</w:t>
      </w:r>
    </w:p>
    <w:p w:rsidR="00012015" w:rsidRDefault="00804AF7">
      <w:pPr>
        <w:spacing w:before="240"/>
        <w:rPr>
          <w:b/>
          <w:color w:val="A50358"/>
        </w:rPr>
      </w:pPr>
      <w:r>
        <w:rPr>
          <w:b/>
          <w:color w:val="A50358"/>
        </w:rPr>
        <w:t>Idealna pora na pokazanie silnej marki Twojej firmy</w:t>
      </w:r>
    </w:p>
    <w:p w:rsidR="00012015" w:rsidRDefault="00804AF7">
      <w:pPr>
        <w:spacing w:after="0"/>
        <w:jc w:val="both"/>
        <w:rPr>
          <w:sz w:val="22"/>
          <w:szCs w:val="22"/>
        </w:rPr>
      </w:pPr>
      <w:r>
        <w:rPr>
          <w:sz w:val="22"/>
          <w:szCs w:val="22"/>
        </w:rPr>
        <w:t xml:space="preserve">Po raz 26 organizatorzy zapraszają firmy z całej Polski do dołączenia do społeczności Przedsiębiorstw Fair Play i potwierdzenia, że uczciwość jest wartością przewodnią w przedsiębiorstwie. Deklaracje zgłoszeniowe można przesyłać za pomocą </w:t>
      </w:r>
      <w:hyperlink r:id="rId8">
        <w:r>
          <w:rPr>
            <w:b/>
            <w:color w:val="A50358"/>
            <w:sz w:val="22"/>
            <w:szCs w:val="22"/>
            <w:u w:val="single"/>
          </w:rPr>
          <w:t>elektronicznego formularza</w:t>
        </w:r>
      </w:hyperlink>
      <w:r>
        <w:rPr>
          <w:b/>
          <w:color w:val="A50358"/>
          <w:sz w:val="22"/>
          <w:szCs w:val="22"/>
          <w:u w:val="single"/>
        </w:rPr>
        <w:t xml:space="preserve"> dostępnego na www.fairplay.pl</w:t>
      </w:r>
      <w:r>
        <w:rPr>
          <w:sz w:val="22"/>
          <w:szCs w:val="22"/>
        </w:rPr>
        <w:t xml:space="preserve">. Warunkiem uczestnictwa jest prowadzenie działalności gospodarczej, od co najmniej roku kalendarzowego, poprzedzającego tegoroczną edycję oraz posiadanie siedziby w Polsce. Zgłoszenia mogą wysyłać wszystkie przedsiębiorstwa niezależnie od branży. </w:t>
      </w:r>
    </w:p>
    <w:p w:rsidR="00012015" w:rsidRDefault="00012015">
      <w:pPr>
        <w:spacing w:after="0"/>
        <w:jc w:val="both"/>
        <w:rPr>
          <w:sz w:val="22"/>
          <w:szCs w:val="22"/>
        </w:rPr>
      </w:pPr>
    </w:p>
    <w:p w:rsidR="00012015" w:rsidRDefault="00804AF7">
      <w:pPr>
        <w:spacing w:after="0"/>
        <w:jc w:val="both"/>
        <w:rPr>
          <w:sz w:val="22"/>
          <w:szCs w:val="22"/>
        </w:rPr>
      </w:pPr>
      <w:r>
        <w:rPr>
          <w:sz w:val="22"/>
          <w:szCs w:val="22"/>
        </w:rPr>
        <w:t>Celem programu jest zachęcanie do codziennego stosowania norm rzetelnego postępowania i uczciwości we wzajemnych relacjach przedsiębiorców z klientami, kontrahentami, pracownikami, wspólnikami, społecznością lokalną oraz władzą lokalną i państwową. To nie tylko sprawdzony sposób budowania trwałej i silnej pozycji firmy, ale także przepis na lepszą samoocenę pracowników, satysfakcję z wykonywanej pracy i motywację do osiągania wyznaczonych celów.</w:t>
      </w:r>
    </w:p>
    <w:p w:rsidR="00012015" w:rsidRDefault="00012015">
      <w:pPr>
        <w:spacing w:after="0"/>
        <w:jc w:val="both"/>
        <w:rPr>
          <w:sz w:val="22"/>
          <w:szCs w:val="22"/>
        </w:rPr>
      </w:pPr>
    </w:p>
    <w:p w:rsidR="00012015" w:rsidRDefault="00804AF7">
      <w:pPr>
        <w:spacing w:after="0"/>
        <w:jc w:val="both"/>
        <w:rPr>
          <w:sz w:val="22"/>
          <w:szCs w:val="22"/>
        </w:rPr>
      </w:pPr>
      <w:r>
        <w:rPr>
          <w:sz w:val="22"/>
          <w:szCs w:val="22"/>
        </w:rPr>
        <w:t xml:space="preserve">Po przesłaniu deklaracji zgłoszeniowej przedsiębiorstwo przystępuje do wypełnienia elektronicznej ankiety, w której wskazuje najważniejsze informacje dotyczące swojej działalności. Przedsiębiorstwo Fair Play to jeden z nielicznych certyfikatów przyznawany na podstawie szczegółowej, dwuetapowej weryfikacji. </w:t>
      </w:r>
    </w:p>
    <w:p w:rsidR="00012015" w:rsidRDefault="00012015">
      <w:pPr>
        <w:spacing w:after="0"/>
        <w:jc w:val="both"/>
        <w:rPr>
          <w:sz w:val="22"/>
          <w:szCs w:val="22"/>
        </w:rPr>
      </w:pPr>
    </w:p>
    <w:p w:rsidR="00012015" w:rsidRDefault="00804AF7">
      <w:pPr>
        <w:spacing w:after="0"/>
        <w:jc w:val="both"/>
        <w:rPr>
          <w:b/>
          <w:sz w:val="22"/>
          <w:szCs w:val="22"/>
        </w:rPr>
      </w:pPr>
      <w:r>
        <w:rPr>
          <w:sz w:val="22"/>
          <w:szCs w:val="22"/>
        </w:rPr>
        <w:t>W pierwszym etapie oceniana jest kondycja przedsiębiorstwa na podstawie wypełnionej przez nie ankiety. Następnie, w firmach zakwalifikowanych do II etapu, odbywają się wizyty odpowiednio wykwalifikowanych audytorów, którzy weryfikują prawdziwość danych zawartych w ankietach. Jesienią Kapituła Programu, do udziału w której zapraszamy przedsiębiorców, przedstawicieli administracji, samorządów i uczelni podejmie decyzje o przyznaniu poszczególnych nagród. Każdą edycję programu kończy Wielka Gala Finałowa, podczas której następuje uroczyste ogłoszenie wyników</w:t>
      </w:r>
      <w:r>
        <w:rPr>
          <w:b/>
          <w:sz w:val="22"/>
          <w:szCs w:val="22"/>
        </w:rPr>
        <w:t>.</w:t>
      </w:r>
    </w:p>
    <w:p w:rsidR="00012015" w:rsidRDefault="00012015">
      <w:pPr>
        <w:spacing w:after="0"/>
        <w:jc w:val="both"/>
        <w:rPr>
          <w:b/>
          <w:sz w:val="22"/>
          <w:szCs w:val="22"/>
        </w:rPr>
      </w:pPr>
    </w:p>
    <w:p w:rsidR="00012015" w:rsidRDefault="00804AF7">
      <w:pPr>
        <w:spacing w:before="240"/>
        <w:jc w:val="both"/>
        <w:rPr>
          <w:b/>
          <w:color w:val="A50358"/>
          <w:sz w:val="22"/>
          <w:szCs w:val="22"/>
        </w:rPr>
      </w:pPr>
      <w:r>
        <w:rPr>
          <w:b/>
          <w:color w:val="A50358"/>
          <w:sz w:val="22"/>
          <w:szCs w:val="22"/>
        </w:rPr>
        <w:lastRenderedPageBreak/>
        <w:t>Mazowieckie przedsiębiorstwa są dobrym przykładem</w:t>
      </w:r>
    </w:p>
    <w:p w:rsidR="00012015" w:rsidRDefault="00804AF7">
      <w:pPr>
        <w:spacing w:after="0" w:line="240" w:lineRule="auto"/>
        <w:jc w:val="both"/>
        <w:rPr>
          <w:sz w:val="22"/>
          <w:szCs w:val="22"/>
        </w:rPr>
      </w:pPr>
      <w:r>
        <w:rPr>
          <w:sz w:val="22"/>
          <w:szCs w:val="22"/>
        </w:rPr>
        <w:t xml:space="preserve">Firmy uzyskujące tytuł Przedsiębiorstwo Fair Play przestrzegają przepisów prawa oraz przyjętych norm społecznych, wywiązują się z podjętych zobowiązań, wykazują szacunek wobec partnerów biznesowych, stosują zasady uczciwej konkurencji i przejrzystości informacji, biorą odpowiedzialność za pracowników, środowisko naturalne i społeczność lokalną. Na przestrzeni 25 lat certyfikat został przyznany ponad 2 500 firmom, w tym zarówno dużym przedsiębiorstwom, jak i tym mniejszym, działającym na lokalnych rynkach. Łącznie do programu napłynęło dotychczas 11 660 zgłoszeń. </w:t>
      </w:r>
    </w:p>
    <w:p w:rsidR="00012015" w:rsidRDefault="00012015">
      <w:pPr>
        <w:spacing w:after="0" w:line="240" w:lineRule="auto"/>
        <w:jc w:val="both"/>
        <w:rPr>
          <w:sz w:val="22"/>
          <w:szCs w:val="22"/>
        </w:rPr>
      </w:pPr>
    </w:p>
    <w:p w:rsidR="00012015" w:rsidRDefault="00804AF7">
      <w:pPr>
        <w:spacing w:after="0" w:line="240" w:lineRule="auto"/>
        <w:jc w:val="both"/>
        <w:rPr>
          <w:b/>
          <w:sz w:val="22"/>
          <w:szCs w:val="22"/>
        </w:rPr>
      </w:pPr>
      <w:r>
        <w:rPr>
          <w:sz w:val="22"/>
          <w:szCs w:val="22"/>
        </w:rPr>
        <w:t>W ubiegłorocznej edycji</w:t>
      </w:r>
      <w:r>
        <w:rPr>
          <w:b/>
          <w:sz w:val="22"/>
          <w:szCs w:val="22"/>
        </w:rPr>
        <w:t xml:space="preserve"> 12 firm</w:t>
      </w:r>
      <w:r>
        <w:rPr>
          <w:sz w:val="22"/>
          <w:szCs w:val="22"/>
        </w:rPr>
        <w:t xml:space="preserve"> </w:t>
      </w:r>
      <w:r>
        <w:rPr>
          <w:b/>
          <w:sz w:val="22"/>
          <w:szCs w:val="22"/>
        </w:rPr>
        <w:t>z województwa mazowieckiego uzyskało tytuł Przedsiębiorstwo Fair Play:</w:t>
      </w:r>
    </w:p>
    <w:p w:rsidR="00012015" w:rsidRDefault="00804AF7">
      <w:pPr>
        <w:spacing w:after="0" w:line="240" w:lineRule="auto"/>
        <w:jc w:val="both"/>
        <w:rPr>
          <w:b/>
          <w:sz w:val="22"/>
          <w:szCs w:val="22"/>
        </w:rPr>
      </w:pPr>
      <w:r>
        <w:rPr>
          <w:b/>
          <w:sz w:val="22"/>
          <w:szCs w:val="22"/>
        </w:rPr>
        <w:t>EURO-TRUCK SP. Z O.O., Mroków k/ Warszawy</w:t>
      </w:r>
    </w:p>
    <w:p w:rsidR="00012015" w:rsidRDefault="00804AF7">
      <w:pPr>
        <w:spacing w:after="0" w:line="240" w:lineRule="auto"/>
        <w:jc w:val="both"/>
        <w:rPr>
          <w:b/>
          <w:sz w:val="22"/>
          <w:szCs w:val="22"/>
        </w:rPr>
      </w:pPr>
      <w:r>
        <w:rPr>
          <w:b/>
          <w:sz w:val="22"/>
          <w:szCs w:val="22"/>
        </w:rPr>
        <w:t>SABUR Sp. z o.o., Warszawa</w:t>
      </w:r>
    </w:p>
    <w:p w:rsidR="00012015" w:rsidRDefault="00804AF7">
      <w:pPr>
        <w:spacing w:after="0" w:line="240" w:lineRule="auto"/>
        <w:jc w:val="both"/>
        <w:rPr>
          <w:b/>
          <w:sz w:val="22"/>
          <w:szCs w:val="22"/>
        </w:rPr>
      </w:pPr>
      <w:r>
        <w:rPr>
          <w:b/>
          <w:sz w:val="22"/>
          <w:szCs w:val="22"/>
        </w:rPr>
        <w:t>ATHENASOFT Sp. z o.o., Warszawa</w:t>
      </w:r>
    </w:p>
    <w:p w:rsidR="00012015" w:rsidRDefault="00804AF7">
      <w:pPr>
        <w:spacing w:after="0" w:line="240" w:lineRule="auto"/>
        <w:jc w:val="both"/>
        <w:rPr>
          <w:b/>
          <w:sz w:val="22"/>
          <w:szCs w:val="22"/>
        </w:rPr>
      </w:pPr>
      <w:r>
        <w:rPr>
          <w:b/>
          <w:sz w:val="22"/>
          <w:szCs w:val="22"/>
        </w:rPr>
        <w:t>PODKOWA SP. Z O.O. Transport I Spedycja Międzynarodowa, Mroków k/ Warszawy</w:t>
      </w:r>
    </w:p>
    <w:p w:rsidR="00012015" w:rsidRDefault="00804AF7">
      <w:pPr>
        <w:spacing w:after="0" w:line="240" w:lineRule="auto"/>
        <w:jc w:val="both"/>
        <w:rPr>
          <w:b/>
          <w:sz w:val="22"/>
          <w:szCs w:val="22"/>
        </w:rPr>
      </w:pPr>
      <w:r>
        <w:rPr>
          <w:b/>
          <w:sz w:val="22"/>
          <w:szCs w:val="22"/>
        </w:rPr>
        <w:t>IREKS PROKOPOWICZ Sp. z o.o., Milejowice</w:t>
      </w:r>
    </w:p>
    <w:p w:rsidR="00012015" w:rsidRDefault="00804AF7">
      <w:pPr>
        <w:spacing w:after="0" w:line="240" w:lineRule="auto"/>
        <w:jc w:val="both"/>
        <w:rPr>
          <w:b/>
          <w:sz w:val="22"/>
          <w:szCs w:val="22"/>
        </w:rPr>
      </w:pPr>
      <w:proofErr w:type="spellStart"/>
      <w:r>
        <w:rPr>
          <w:b/>
          <w:sz w:val="22"/>
          <w:szCs w:val="22"/>
        </w:rPr>
        <w:t>SoftHard</w:t>
      </w:r>
      <w:proofErr w:type="spellEnd"/>
      <w:r>
        <w:rPr>
          <w:b/>
          <w:sz w:val="22"/>
          <w:szCs w:val="22"/>
        </w:rPr>
        <w:t xml:space="preserve"> Spółka Akcyjna, Płock</w:t>
      </w:r>
    </w:p>
    <w:p w:rsidR="00012015" w:rsidRDefault="00804AF7">
      <w:pPr>
        <w:spacing w:after="0" w:line="240" w:lineRule="auto"/>
        <w:jc w:val="both"/>
        <w:rPr>
          <w:b/>
          <w:sz w:val="22"/>
          <w:szCs w:val="22"/>
        </w:rPr>
      </w:pPr>
      <w:r>
        <w:rPr>
          <w:b/>
          <w:sz w:val="22"/>
          <w:szCs w:val="22"/>
        </w:rPr>
        <w:t>AURA Technologies Sp. z o.o., Warszawa</w:t>
      </w:r>
    </w:p>
    <w:p w:rsidR="00012015" w:rsidRDefault="00804AF7">
      <w:pPr>
        <w:spacing w:after="0" w:line="240" w:lineRule="auto"/>
        <w:jc w:val="both"/>
        <w:rPr>
          <w:b/>
          <w:sz w:val="22"/>
          <w:szCs w:val="22"/>
        </w:rPr>
      </w:pPr>
      <w:proofErr w:type="spellStart"/>
      <w:r>
        <w:rPr>
          <w:b/>
          <w:sz w:val="22"/>
          <w:szCs w:val="22"/>
        </w:rPr>
        <w:t>Lignumsoft</w:t>
      </w:r>
      <w:proofErr w:type="spellEnd"/>
      <w:r>
        <w:rPr>
          <w:b/>
          <w:sz w:val="22"/>
          <w:szCs w:val="22"/>
        </w:rPr>
        <w:t xml:space="preserve"> Adam Wileński, Kobyłka</w:t>
      </w:r>
    </w:p>
    <w:p w:rsidR="00012015" w:rsidRDefault="00804AF7">
      <w:pPr>
        <w:spacing w:after="0" w:line="240" w:lineRule="auto"/>
        <w:jc w:val="both"/>
        <w:rPr>
          <w:b/>
          <w:sz w:val="22"/>
          <w:szCs w:val="22"/>
        </w:rPr>
      </w:pPr>
      <w:r>
        <w:rPr>
          <w:b/>
          <w:sz w:val="22"/>
          <w:szCs w:val="22"/>
        </w:rPr>
        <w:t>CURTIS Development Sp. z o.o., Warszawa</w:t>
      </w:r>
    </w:p>
    <w:p w:rsidR="00012015" w:rsidRDefault="00804AF7">
      <w:pPr>
        <w:spacing w:after="0" w:line="240" w:lineRule="auto"/>
        <w:jc w:val="both"/>
        <w:rPr>
          <w:b/>
          <w:sz w:val="22"/>
          <w:szCs w:val="22"/>
        </w:rPr>
      </w:pPr>
      <w:r>
        <w:rPr>
          <w:b/>
          <w:sz w:val="22"/>
          <w:szCs w:val="22"/>
        </w:rPr>
        <w:t xml:space="preserve">Biuro </w:t>
      </w:r>
      <w:proofErr w:type="spellStart"/>
      <w:r>
        <w:rPr>
          <w:b/>
          <w:sz w:val="22"/>
          <w:szCs w:val="22"/>
        </w:rPr>
        <w:t>Techniczno</w:t>
      </w:r>
      <w:proofErr w:type="spellEnd"/>
      <w:r>
        <w:rPr>
          <w:b/>
          <w:sz w:val="22"/>
          <w:szCs w:val="22"/>
        </w:rPr>
        <w:t xml:space="preserve"> Handlowe FAST STEFAN FABIJAŃSKI, Walendów</w:t>
      </w:r>
    </w:p>
    <w:p w:rsidR="00012015" w:rsidRDefault="00804AF7">
      <w:pPr>
        <w:spacing w:after="0" w:line="240" w:lineRule="auto"/>
        <w:jc w:val="both"/>
        <w:rPr>
          <w:b/>
          <w:sz w:val="22"/>
          <w:szCs w:val="22"/>
        </w:rPr>
      </w:pPr>
      <w:r>
        <w:rPr>
          <w:b/>
          <w:sz w:val="22"/>
          <w:szCs w:val="22"/>
        </w:rPr>
        <w:t>Przedsiębiorstwo Wodociągów i Kanalizacji Sp. z o.o. w Wyszkowie</w:t>
      </w:r>
    </w:p>
    <w:p w:rsidR="00012015" w:rsidRDefault="00804AF7">
      <w:pPr>
        <w:spacing w:after="0" w:line="240" w:lineRule="auto"/>
        <w:jc w:val="both"/>
        <w:rPr>
          <w:b/>
          <w:sz w:val="22"/>
          <w:szCs w:val="22"/>
        </w:rPr>
      </w:pPr>
      <w:r>
        <w:rPr>
          <w:b/>
          <w:sz w:val="22"/>
          <w:szCs w:val="22"/>
        </w:rPr>
        <w:t>Zieliński Pasze &amp; Agro Spółka z ograniczoną odpowiedzialnością, Krasnosielc</w:t>
      </w:r>
    </w:p>
    <w:p w:rsidR="00012015" w:rsidRDefault="00012015">
      <w:pPr>
        <w:spacing w:after="0" w:line="240" w:lineRule="auto"/>
        <w:jc w:val="both"/>
        <w:rPr>
          <w:sz w:val="22"/>
          <w:szCs w:val="22"/>
        </w:rPr>
      </w:pPr>
    </w:p>
    <w:p w:rsidR="00012015" w:rsidRDefault="00804AF7">
      <w:pPr>
        <w:jc w:val="both"/>
        <w:rPr>
          <w:sz w:val="22"/>
          <w:szCs w:val="22"/>
        </w:rPr>
      </w:pPr>
      <w:r>
        <w:rPr>
          <w:sz w:val="22"/>
          <w:szCs w:val="22"/>
        </w:rPr>
        <w:t xml:space="preserve">Firmy z województwa mazowieckiego z najdłuższym stażem w programie to </w:t>
      </w:r>
      <w:r>
        <w:rPr>
          <w:b/>
          <w:sz w:val="22"/>
          <w:szCs w:val="22"/>
        </w:rPr>
        <w:t>EURO-TRUCK Sp. z o.o. z Mrokowa</w:t>
      </w:r>
      <w:r>
        <w:rPr>
          <w:sz w:val="22"/>
          <w:szCs w:val="22"/>
        </w:rPr>
        <w:t xml:space="preserve"> oraz </w:t>
      </w:r>
      <w:r>
        <w:rPr>
          <w:b/>
          <w:sz w:val="22"/>
          <w:szCs w:val="22"/>
        </w:rPr>
        <w:t>SABUR Sp. z o.o. z Warszawy</w:t>
      </w:r>
      <w:r>
        <w:rPr>
          <w:sz w:val="22"/>
          <w:szCs w:val="22"/>
        </w:rPr>
        <w:t xml:space="preserve">. Przedsiębiorstwa w 2022 roku po tytuł Przedsiębiorstwa Fair Play sięgnęły po raz 22. z rzędu. EURO-TRUCK wyróżnia się na rynku motoryzacyjnym szerokim zakresem usług dedykowanych MSP, ścisłą współpracą z firmami leasingowymi oraz ubezpieczeniowymi. Z kolei </w:t>
      </w:r>
      <w:proofErr w:type="spellStart"/>
      <w:r>
        <w:rPr>
          <w:sz w:val="22"/>
          <w:szCs w:val="22"/>
        </w:rPr>
        <w:t>Sabur</w:t>
      </w:r>
      <w:proofErr w:type="spellEnd"/>
      <w:r>
        <w:rPr>
          <w:sz w:val="22"/>
          <w:szCs w:val="22"/>
        </w:rPr>
        <w:t xml:space="preserve"> dostarcza systemy automatyki budynkowej i przemysłowej. Na bazie europejskich produktów tworzy kompleksowe rozwiązania OT, </w:t>
      </w:r>
      <w:proofErr w:type="spellStart"/>
      <w:r>
        <w:rPr>
          <w:sz w:val="22"/>
          <w:szCs w:val="22"/>
        </w:rPr>
        <w:t>IoT</w:t>
      </w:r>
      <w:proofErr w:type="spellEnd"/>
      <w:r>
        <w:rPr>
          <w:sz w:val="22"/>
          <w:szCs w:val="22"/>
        </w:rPr>
        <w:t xml:space="preserve"> i IT, które funkcjonują w tysiącach polskich obiektów. Tytuł </w:t>
      </w:r>
      <w:proofErr w:type="spellStart"/>
      <w:r>
        <w:rPr>
          <w:sz w:val="22"/>
          <w:szCs w:val="22"/>
        </w:rPr>
        <w:t>Semper</w:t>
      </w:r>
      <w:proofErr w:type="spellEnd"/>
      <w:r>
        <w:rPr>
          <w:sz w:val="22"/>
          <w:szCs w:val="22"/>
        </w:rPr>
        <w:t xml:space="preserve"> Fidelis – Zawsze Wierny został przyznany </w:t>
      </w:r>
      <w:r>
        <w:rPr>
          <w:b/>
          <w:sz w:val="22"/>
          <w:szCs w:val="22"/>
        </w:rPr>
        <w:t>ATHENASOFT Sp. z o.o. z Warszawy</w:t>
      </w:r>
      <w:r>
        <w:rPr>
          <w:sz w:val="22"/>
          <w:szCs w:val="22"/>
        </w:rPr>
        <w:t xml:space="preserve"> - </w:t>
      </w:r>
      <w:r>
        <w:rPr>
          <w:color w:val="050505"/>
          <w:sz w:val="22"/>
          <w:szCs w:val="22"/>
          <w:highlight w:val="white"/>
        </w:rPr>
        <w:t>wiodącemu na rynku polskim producentowi oprogramowania dla budownictwa</w:t>
      </w:r>
      <w:r>
        <w:rPr>
          <w:sz w:val="22"/>
          <w:szCs w:val="22"/>
        </w:rPr>
        <w:t>, który uzyskał certyfikat Przedsiębiorstwo Fair Play po raz 20. z rzędu.</w:t>
      </w:r>
    </w:p>
    <w:p w:rsidR="00012015" w:rsidRDefault="00804AF7">
      <w:pPr>
        <w:jc w:val="both"/>
        <w:rPr>
          <w:sz w:val="22"/>
          <w:szCs w:val="22"/>
        </w:rPr>
      </w:pPr>
      <w:r>
        <w:rPr>
          <w:sz w:val="22"/>
          <w:szCs w:val="22"/>
        </w:rPr>
        <w:t xml:space="preserve">Pełna lista laureatów XXV edycji jest dostępna w załączonym biuletynie oraz </w:t>
      </w:r>
      <w:hyperlink r:id="rId9">
        <w:r>
          <w:rPr>
            <w:color w:val="1155CC"/>
            <w:sz w:val="22"/>
            <w:szCs w:val="22"/>
            <w:u w:val="single"/>
          </w:rPr>
          <w:t>tutaj</w:t>
        </w:r>
      </w:hyperlink>
      <w:r>
        <w:rPr>
          <w:sz w:val="22"/>
          <w:szCs w:val="22"/>
        </w:rPr>
        <w:t>.</w:t>
      </w:r>
    </w:p>
    <w:p w:rsidR="00012015" w:rsidRDefault="00804AF7">
      <w:pPr>
        <w:spacing w:before="240"/>
        <w:jc w:val="both"/>
        <w:rPr>
          <w:b/>
          <w:color w:val="A50358"/>
          <w:sz w:val="22"/>
          <w:szCs w:val="22"/>
        </w:rPr>
      </w:pPr>
      <w:r>
        <w:rPr>
          <w:b/>
          <w:color w:val="A50358"/>
          <w:sz w:val="22"/>
          <w:szCs w:val="22"/>
        </w:rPr>
        <w:t>Historyczna nagroda dla polskiego biznesu!</w:t>
      </w:r>
    </w:p>
    <w:p w:rsidR="00012015" w:rsidRDefault="00804AF7">
      <w:pPr>
        <w:jc w:val="both"/>
        <w:rPr>
          <w:sz w:val="22"/>
          <w:szCs w:val="22"/>
        </w:rPr>
      </w:pPr>
      <w:r>
        <w:rPr>
          <w:sz w:val="22"/>
          <w:szCs w:val="22"/>
        </w:rPr>
        <w:t xml:space="preserve">W Polsce jest wiele firm, które działają nie tylko dla zysków, lecz przede wszystkim w służbie odpowiedzialności dla Polski i Polaków. Wyznaczony sobie sposób działania i wierność wyznawanym zasadom zasługuje na wielki szacunek i szeroką promocję. W 2023 roku po raz pierwszy w historii programu przyznana zostanie specjalna nagroda dla firm, które sięgną po certyfikat Przedsiębiorstwo Fair Play po raz 25! Uhonorowanie ich będzie namacalnym dowodem na poparcie wysokiej zasadności wdrożenia na stałe zasad strategii bycia fair </w:t>
      </w:r>
      <w:proofErr w:type="spellStart"/>
      <w:r>
        <w:rPr>
          <w:sz w:val="22"/>
          <w:szCs w:val="22"/>
        </w:rPr>
        <w:t>play</w:t>
      </w:r>
      <w:proofErr w:type="spellEnd"/>
      <w:r>
        <w:rPr>
          <w:sz w:val="22"/>
          <w:szCs w:val="22"/>
        </w:rPr>
        <w:t xml:space="preserve"> we wszystkich polskich przedsiębiorstwach.</w:t>
      </w:r>
    </w:p>
    <w:p w:rsidR="00012015" w:rsidRDefault="00804AF7">
      <w:pPr>
        <w:spacing w:before="240"/>
        <w:jc w:val="both"/>
        <w:rPr>
          <w:b/>
          <w:color w:val="A50358"/>
          <w:sz w:val="22"/>
          <w:szCs w:val="22"/>
        </w:rPr>
      </w:pPr>
      <w:r>
        <w:rPr>
          <w:b/>
          <w:color w:val="A50358"/>
          <w:sz w:val="22"/>
          <w:szCs w:val="22"/>
        </w:rPr>
        <w:t>Poparcie władz lokalnych</w:t>
      </w:r>
    </w:p>
    <w:p w:rsidR="00012015" w:rsidRDefault="00804AF7">
      <w:pPr>
        <w:jc w:val="both"/>
        <w:rPr>
          <w:sz w:val="22"/>
          <w:szCs w:val="22"/>
        </w:rPr>
      </w:pPr>
      <w:r>
        <w:rPr>
          <w:sz w:val="22"/>
          <w:szCs w:val="22"/>
        </w:rPr>
        <w:t xml:space="preserve">Program Przedsiębiorstwo Fair Play cieszy się mocnym poparciem władz regionalnych. Jest ono dla Laureatów i Uczestników programu ważnym sygnałem, że to w jaki sposób rozwijają swoją firmę (w oparciu o poszanowanie praw etyki w biznesie, dbałość o relacje z pracownikami i najbliższym otoczeniem) jest istotny i zdobywa uznanie wśród innych. Program promuje dbanie o relacje z interesariuszami przedsiębiorstwa, w tym z władzami lokalnymi czy regionalnymi. Uczciwe, stale rozwijające się firmy to wielka korzyść dla otoczenia. Są one siłą napędową swojego regionu – zapewniają miejsca pracy czy wpływy do budżetu. Nic więc dziwnego, że po raz kolejny program swoim </w:t>
      </w:r>
      <w:r>
        <w:rPr>
          <w:sz w:val="22"/>
          <w:szCs w:val="22"/>
        </w:rPr>
        <w:lastRenderedPageBreak/>
        <w:t xml:space="preserve">patronatem obejmują Marszałkowie większości województw. Certyfikat dzięki tak szerokiemu poparciu staje się wyraźną rekomendacją, że z Przedsiębiorstwami Fair Play warto współpracować.  </w:t>
      </w:r>
    </w:p>
    <w:p w:rsidR="00012015" w:rsidRDefault="00804AF7">
      <w:pPr>
        <w:jc w:val="both"/>
        <w:rPr>
          <w:sz w:val="22"/>
          <w:szCs w:val="22"/>
        </w:rPr>
      </w:pPr>
      <w:r>
        <w:rPr>
          <w:sz w:val="22"/>
          <w:szCs w:val="22"/>
        </w:rPr>
        <w:t xml:space="preserve">Aktualne informacje na temat programu Przedsiębiorstwo Fair Play i udziału w certyfikacji uzyskać można kontaktując się z biurem pod numerem 883 827 515 lub na stronie </w:t>
      </w:r>
      <w:hyperlink r:id="rId10">
        <w:r>
          <w:rPr>
            <w:color w:val="A50358"/>
            <w:sz w:val="22"/>
            <w:szCs w:val="22"/>
            <w:u w:val="single"/>
          </w:rPr>
          <w:t>www.fairplay.pl</w:t>
        </w:r>
      </w:hyperlink>
      <w:r>
        <w:rPr>
          <w:sz w:val="22"/>
          <w:szCs w:val="22"/>
        </w:rPr>
        <w:t xml:space="preserve"> </w:t>
      </w:r>
      <w:r>
        <w:rPr>
          <w:sz w:val="22"/>
          <w:szCs w:val="22"/>
        </w:rPr>
        <w:br/>
      </w:r>
      <w:r>
        <w:rPr>
          <w:sz w:val="22"/>
          <w:szCs w:val="22"/>
        </w:rPr>
        <w:br/>
      </w:r>
      <w:hyperlink r:id="rId11">
        <w:r>
          <w:rPr>
            <w:b/>
            <w:color w:val="A50358"/>
            <w:sz w:val="22"/>
            <w:szCs w:val="22"/>
            <w:u w:val="single"/>
          </w:rPr>
          <w:t>Regulamin Programu Przedsiębiorstwo Fair Play 2023</w:t>
        </w:r>
      </w:hyperlink>
    </w:p>
    <w:p w:rsidR="00012015" w:rsidRDefault="00804AF7">
      <w:pPr>
        <w:spacing w:before="240"/>
        <w:jc w:val="both"/>
        <w:rPr>
          <w:sz w:val="20"/>
          <w:szCs w:val="20"/>
        </w:rPr>
      </w:pPr>
      <w:r>
        <w:rPr>
          <w:sz w:val="22"/>
          <w:szCs w:val="22"/>
        </w:rPr>
        <w:t xml:space="preserve">Organizatorem programu jest Fundacja Instytut Badań nad Demokracją i Przedsiębiorstwem Prywatnym – jeden z pierwszych w Polsce niezależnych instytutów badawczych i polskich </w:t>
      </w:r>
      <w:proofErr w:type="spellStart"/>
      <w:r>
        <w:rPr>
          <w:sz w:val="22"/>
          <w:szCs w:val="22"/>
        </w:rPr>
        <w:t>think</w:t>
      </w:r>
      <w:proofErr w:type="spellEnd"/>
      <w:r>
        <w:rPr>
          <w:sz w:val="22"/>
          <w:szCs w:val="22"/>
        </w:rPr>
        <w:t xml:space="preserve"> tank. Program Przedsiębiorstwo Fair Play jest afiliowany przy Krajowej Izbie Gospodarczej.</w:t>
      </w:r>
      <w:r>
        <w:rPr>
          <w:b/>
          <w:color w:val="910045"/>
          <w:sz w:val="22"/>
          <w:szCs w:val="22"/>
        </w:rPr>
        <w:br/>
      </w:r>
    </w:p>
    <w:p w:rsidR="00012015" w:rsidRDefault="00012015">
      <w:pPr>
        <w:spacing w:after="0" w:line="240" w:lineRule="auto"/>
        <w:rPr>
          <w:sz w:val="22"/>
          <w:szCs w:val="22"/>
        </w:rPr>
      </w:pPr>
    </w:p>
    <w:sectPr w:rsidR="00012015">
      <w:footerReference w:type="default" r:id="rId12"/>
      <w:pgSz w:w="11906" w:h="16838"/>
      <w:pgMar w:top="709" w:right="1417" w:bottom="426" w:left="1417" w:header="708" w:footer="31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49" w:rsidRDefault="001C0849">
      <w:pPr>
        <w:spacing w:after="0" w:line="240" w:lineRule="auto"/>
      </w:pPr>
      <w:r>
        <w:separator/>
      </w:r>
    </w:p>
  </w:endnote>
  <w:endnote w:type="continuationSeparator" w:id="0">
    <w:p w:rsidR="001C0849" w:rsidRDefault="001C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15" w:rsidRDefault="00012015">
    <w:pPr>
      <w:rPr>
        <w:sz w:val="2"/>
        <w:szCs w:val="2"/>
      </w:rPr>
    </w:pPr>
  </w:p>
  <w:tbl>
    <w:tblPr>
      <w:tblStyle w:val="a0"/>
      <w:tblW w:w="8678" w:type="dxa"/>
      <w:tblInd w:w="-176" w:type="dxa"/>
      <w:tblBorders>
        <w:top w:val="single" w:sz="8" w:space="0" w:color="910045"/>
        <w:left w:val="nil"/>
        <w:bottom w:val="nil"/>
        <w:right w:val="nil"/>
        <w:insideH w:val="nil"/>
        <w:insideV w:val="nil"/>
      </w:tblBorders>
      <w:tblLayout w:type="fixed"/>
      <w:tblLook w:val="0000" w:firstRow="0" w:lastRow="0" w:firstColumn="0" w:lastColumn="0" w:noHBand="0" w:noVBand="0"/>
    </w:tblPr>
    <w:tblGrid>
      <w:gridCol w:w="2352"/>
      <w:gridCol w:w="2108"/>
      <w:gridCol w:w="2109"/>
      <w:gridCol w:w="2109"/>
    </w:tblGrid>
    <w:tr w:rsidR="00012015">
      <w:trPr>
        <w:trHeight w:val="360"/>
      </w:trPr>
      <w:tc>
        <w:tcPr>
          <w:tcW w:w="2352" w:type="dxa"/>
          <w:tcBorders>
            <w:top w:val="single" w:sz="8" w:space="0" w:color="A50358"/>
          </w:tcBorders>
        </w:tcPr>
        <w:p w:rsidR="00012015" w:rsidRDefault="00804AF7">
          <w:pPr>
            <w:pBdr>
              <w:top w:val="nil"/>
              <w:left w:val="nil"/>
              <w:bottom w:val="nil"/>
              <w:right w:val="nil"/>
              <w:between w:val="nil"/>
            </w:pBdr>
            <w:tabs>
              <w:tab w:val="center" w:pos="4536"/>
              <w:tab w:val="right" w:pos="9072"/>
            </w:tabs>
            <w:jc w:val="both"/>
            <w:rPr>
              <w:color w:val="A50358"/>
            </w:rPr>
          </w:pPr>
          <w:r>
            <w:rPr>
              <w:b/>
              <w:color w:val="A50358"/>
            </w:rPr>
            <w:t>Kontakt dla mediów</w:t>
          </w:r>
        </w:p>
      </w:tc>
      <w:tc>
        <w:tcPr>
          <w:tcW w:w="2108" w:type="dxa"/>
          <w:tcBorders>
            <w:top w:val="single" w:sz="8" w:space="0" w:color="A50358"/>
          </w:tcBorders>
        </w:tcPr>
        <w:p w:rsidR="00012015" w:rsidRDefault="00012015">
          <w:pPr>
            <w:pBdr>
              <w:top w:val="nil"/>
              <w:left w:val="nil"/>
              <w:bottom w:val="nil"/>
              <w:right w:val="nil"/>
              <w:between w:val="nil"/>
            </w:pBdr>
            <w:tabs>
              <w:tab w:val="center" w:pos="4536"/>
              <w:tab w:val="right" w:pos="9072"/>
            </w:tabs>
            <w:jc w:val="right"/>
            <w:rPr>
              <w:color w:val="7F7F7F"/>
              <w:sz w:val="18"/>
              <w:szCs w:val="18"/>
            </w:rPr>
          </w:pPr>
        </w:p>
      </w:tc>
      <w:tc>
        <w:tcPr>
          <w:tcW w:w="2109" w:type="dxa"/>
          <w:tcBorders>
            <w:top w:val="single" w:sz="8" w:space="0" w:color="A50358"/>
          </w:tcBorders>
        </w:tcPr>
        <w:p w:rsidR="00012015" w:rsidRDefault="001C0849">
          <w:pPr>
            <w:pBdr>
              <w:top w:val="nil"/>
              <w:left w:val="nil"/>
              <w:bottom w:val="nil"/>
              <w:right w:val="nil"/>
              <w:between w:val="nil"/>
            </w:pBdr>
            <w:tabs>
              <w:tab w:val="center" w:pos="4536"/>
              <w:tab w:val="right" w:pos="9072"/>
            </w:tabs>
            <w:jc w:val="right"/>
            <w:rPr>
              <w:color w:val="7F7F7F"/>
              <w:sz w:val="20"/>
              <w:szCs w:val="20"/>
            </w:rPr>
          </w:pPr>
          <w:hyperlink r:id="rId1">
            <w:r w:rsidR="00804AF7">
              <w:rPr>
                <w:color w:val="0563C1"/>
                <w:sz w:val="20"/>
                <w:szCs w:val="20"/>
                <w:u w:val="single"/>
              </w:rPr>
              <w:t>pr@fairplay.pl</w:t>
            </w:r>
          </w:hyperlink>
          <w:r w:rsidR="00804AF7">
            <w:rPr>
              <w:color w:val="7F7F7F"/>
              <w:sz w:val="20"/>
              <w:szCs w:val="20"/>
            </w:rPr>
            <w:t xml:space="preserve"> </w:t>
          </w:r>
        </w:p>
      </w:tc>
      <w:tc>
        <w:tcPr>
          <w:tcW w:w="2109" w:type="dxa"/>
          <w:tcBorders>
            <w:top w:val="single" w:sz="8" w:space="0" w:color="A50358"/>
          </w:tcBorders>
        </w:tcPr>
        <w:p w:rsidR="00012015" w:rsidRDefault="00804AF7">
          <w:pPr>
            <w:pBdr>
              <w:top w:val="nil"/>
              <w:left w:val="nil"/>
              <w:bottom w:val="nil"/>
              <w:right w:val="nil"/>
              <w:between w:val="nil"/>
            </w:pBdr>
            <w:tabs>
              <w:tab w:val="center" w:pos="4536"/>
              <w:tab w:val="right" w:pos="9072"/>
            </w:tabs>
            <w:jc w:val="right"/>
            <w:rPr>
              <w:color w:val="7F7F7F"/>
              <w:sz w:val="20"/>
              <w:szCs w:val="20"/>
            </w:rPr>
          </w:pPr>
          <w:r>
            <w:rPr>
              <w:color w:val="7F7F7F"/>
              <w:sz w:val="20"/>
              <w:szCs w:val="20"/>
            </w:rPr>
            <w:t>tel.: 883 827 515</w:t>
          </w:r>
        </w:p>
      </w:tc>
    </w:tr>
  </w:tbl>
  <w:p w:rsidR="00012015" w:rsidRDefault="00804AF7">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1727200</wp:posOffset>
              </wp:positionH>
              <wp:positionV relativeFrom="paragraph">
                <wp:posOffset>88900</wp:posOffset>
              </wp:positionV>
              <wp:extent cx="2110740" cy="398780"/>
              <wp:effectExtent l="0" t="0" r="0" b="0"/>
              <wp:wrapNone/>
              <wp:docPr id="8" name="Prostokąt 8"/>
              <wp:cNvGraphicFramePr/>
              <a:graphic xmlns:a="http://schemas.openxmlformats.org/drawingml/2006/main">
                <a:graphicData uri="http://schemas.microsoft.com/office/word/2010/wordprocessingShape">
                  <wps:wsp>
                    <wps:cNvSpPr/>
                    <wps:spPr>
                      <a:xfrm>
                        <a:off x="4300155" y="3590135"/>
                        <a:ext cx="2091690" cy="379730"/>
                      </a:xfrm>
                      <a:prstGeom prst="rect">
                        <a:avLst/>
                      </a:prstGeom>
                      <a:solidFill>
                        <a:srgbClr val="A50358"/>
                      </a:solidFill>
                      <a:ln>
                        <a:noFill/>
                      </a:ln>
                    </wps:spPr>
                    <wps:txbx>
                      <w:txbxContent>
                        <w:p w:rsidR="00012015" w:rsidRDefault="00804AF7">
                          <w:pPr>
                            <w:spacing w:line="258" w:lineRule="auto"/>
                            <w:jc w:val="center"/>
                            <w:textDirection w:val="btLr"/>
                          </w:pPr>
                          <w:r>
                            <w:rPr>
                              <w:b/>
                              <w:color w:val="FFFFFF"/>
                            </w:rPr>
                            <w:t>www.fairplay.pl</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88900</wp:posOffset>
              </wp:positionV>
              <wp:extent cx="2110740" cy="398780"/>
              <wp:effectExtent b="0" l="0" r="0" t="0"/>
              <wp:wrapNone/>
              <wp:docPr id="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110740" cy="39878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49" w:rsidRDefault="001C0849">
      <w:pPr>
        <w:spacing w:after="0" w:line="240" w:lineRule="auto"/>
      </w:pPr>
      <w:r>
        <w:separator/>
      </w:r>
    </w:p>
  </w:footnote>
  <w:footnote w:type="continuationSeparator" w:id="0">
    <w:p w:rsidR="001C0849" w:rsidRDefault="001C0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15"/>
    <w:rsid w:val="00012015"/>
    <w:rsid w:val="001C0849"/>
    <w:rsid w:val="006E4C51"/>
    <w:rsid w:val="00804AF7"/>
    <w:rsid w:val="00B53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7E6BC-1968-414D-B35C-5461856B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ormalny Szansa"/>
    <w:qFormat/>
    <w:rsid w:val="004107E5"/>
  </w:style>
  <w:style w:type="paragraph" w:styleId="Nagwek1">
    <w:name w:val="heading 1"/>
    <w:aliases w:val="Nagłówek Szansa"/>
    <w:basedOn w:val="Normalny"/>
    <w:next w:val="Normalny"/>
    <w:link w:val="Nagwek1Znak"/>
    <w:uiPriority w:val="9"/>
    <w:qFormat/>
    <w:rsid w:val="00F13A57"/>
    <w:pPr>
      <w:keepNext/>
      <w:keepLines/>
      <w:spacing w:before="240" w:after="0"/>
      <w:outlineLvl w:val="0"/>
    </w:pPr>
    <w:rPr>
      <w:rFonts w:eastAsiaTheme="majorEastAsia" w:cstheme="majorBidi"/>
      <w:b/>
      <w:color w:val="000000" w:themeColor="text1"/>
      <w:sz w:val="28"/>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334D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aliases w:val="Tytuł Szansa"/>
    <w:basedOn w:val="Normalny"/>
    <w:next w:val="Normalny"/>
    <w:link w:val="TytuZnak"/>
    <w:uiPriority w:val="10"/>
    <w:qFormat/>
    <w:rsid w:val="004107E5"/>
    <w:pPr>
      <w:spacing w:after="0" w:line="240" w:lineRule="auto"/>
      <w:contextualSpacing/>
      <w:jc w:val="center"/>
    </w:pPr>
    <w:rPr>
      <w:rFonts w:eastAsiaTheme="majorEastAsia" w:cstheme="majorBidi"/>
      <w:b/>
      <w:spacing w:val="-10"/>
      <w:kern w:val="28"/>
      <w:sz w:val="32"/>
      <w:szCs w:val="56"/>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aliases w:val="Nagłówek Szansa Znak"/>
    <w:basedOn w:val="Domylnaczcionkaakapitu"/>
    <w:link w:val="Nagwek1"/>
    <w:uiPriority w:val="9"/>
    <w:rsid w:val="00F13A57"/>
    <w:rPr>
      <w:rFonts w:eastAsiaTheme="majorEastAsia" w:cstheme="majorBidi"/>
      <w:b/>
      <w:color w:val="000000" w:themeColor="text1"/>
      <w:sz w:val="28"/>
      <w:szCs w:val="32"/>
    </w:rPr>
  </w:style>
  <w:style w:type="character" w:customStyle="1" w:styleId="TytuZnak">
    <w:name w:val="Tytuł Znak"/>
    <w:aliases w:val="Tytuł Szansa Znak"/>
    <w:basedOn w:val="Domylnaczcionkaakapitu"/>
    <w:link w:val="Tytu"/>
    <w:uiPriority w:val="10"/>
    <w:rsid w:val="004107E5"/>
    <w:rPr>
      <w:rFonts w:eastAsiaTheme="majorEastAsia" w:cstheme="majorBidi"/>
      <w:b/>
      <w:spacing w:val="-10"/>
      <w:kern w:val="28"/>
      <w:sz w:val="32"/>
      <w:szCs w:val="56"/>
    </w:rPr>
  </w:style>
  <w:style w:type="paragraph" w:styleId="Poprawka">
    <w:name w:val="Revision"/>
    <w:hidden/>
    <w:uiPriority w:val="99"/>
    <w:semiHidden/>
    <w:rsid w:val="00293AFA"/>
    <w:pPr>
      <w:spacing w:after="0" w:line="240" w:lineRule="auto"/>
    </w:pPr>
  </w:style>
  <w:style w:type="character" w:styleId="Hipercze">
    <w:name w:val="Hyperlink"/>
    <w:uiPriority w:val="99"/>
    <w:unhideWhenUsed/>
    <w:rsid w:val="00E0049D"/>
    <w:rPr>
      <w:color w:val="0563C1"/>
      <w:u w:val="single"/>
    </w:rPr>
  </w:style>
  <w:style w:type="character" w:customStyle="1" w:styleId="Nierozpoznanawzmianka1">
    <w:name w:val="Nierozpoznana wzmianka1"/>
    <w:basedOn w:val="Domylnaczcionkaakapitu"/>
    <w:uiPriority w:val="99"/>
    <w:semiHidden/>
    <w:unhideWhenUsed/>
    <w:rsid w:val="00E0049D"/>
    <w:rPr>
      <w:color w:val="605E5C"/>
      <w:shd w:val="clear" w:color="auto" w:fill="E1DFDD"/>
    </w:rPr>
  </w:style>
  <w:style w:type="paragraph" w:styleId="Nagwek">
    <w:name w:val="header"/>
    <w:basedOn w:val="Normalny"/>
    <w:link w:val="NagwekZnak"/>
    <w:uiPriority w:val="99"/>
    <w:unhideWhenUsed/>
    <w:rsid w:val="00E004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49D"/>
    <w:rPr>
      <w:sz w:val="24"/>
    </w:rPr>
  </w:style>
  <w:style w:type="paragraph" w:styleId="Stopka">
    <w:name w:val="footer"/>
    <w:basedOn w:val="Normalny"/>
    <w:link w:val="StopkaZnak"/>
    <w:uiPriority w:val="99"/>
    <w:unhideWhenUsed/>
    <w:rsid w:val="00E004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49D"/>
    <w:rPr>
      <w:sz w:val="24"/>
    </w:rPr>
  </w:style>
  <w:style w:type="character" w:styleId="UyteHipercze">
    <w:name w:val="FollowedHyperlink"/>
    <w:basedOn w:val="Domylnaczcionkaakapitu"/>
    <w:uiPriority w:val="99"/>
    <w:semiHidden/>
    <w:unhideWhenUsed/>
    <w:rsid w:val="004B6C4D"/>
    <w:rPr>
      <w:color w:val="954F72" w:themeColor="followedHyperlink"/>
      <w:u w:val="single"/>
    </w:rPr>
  </w:style>
  <w:style w:type="character" w:customStyle="1" w:styleId="Nagwek4Znak">
    <w:name w:val="Nagłówek 4 Znak"/>
    <w:basedOn w:val="Domylnaczcionkaakapitu"/>
    <w:link w:val="Nagwek4"/>
    <w:uiPriority w:val="9"/>
    <w:semiHidden/>
    <w:rsid w:val="00334DAE"/>
    <w:rPr>
      <w:rFonts w:asciiTheme="majorHAnsi" w:eastAsiaTheme="majorEastAsia" w:hAnsiTheme="majorHAnsi" w:cstheme="majorBidi"/>
      <w:i/>
      <w:iCs/>
      <w:color w:val="2E74B5" w:themeColor="accent1" w:themeShade="BF"/>
      <w:sz w:val="24"/>
    </w:rPr>
  </w:style>
  <w:style w:type="character" w:styleId="Odwoaniedokomentarza">
    <w:name w:val="annotation reference"/>
    <w:basedOn w:val="Domylnaczcionkaakapitu"/>
    <w:uiPriority w:val="99"/>
    <w:semiHidden/>
    <w:unhideWhenUsed/>
    <w:rsid w:val="00C41781"/>
    <w:rPr>
      <w:sz w:val="16"/>
      <w:szCs w:val="16"/>
    </w:rPr>
  </w:style>
  <w:style w:type="paragraph" w:styleId="Tekstkomentarza">
    <w:name w:val="annotation text"/>
    <w:basedOn w:val="Normalny"/>
    <w:link w:val="TekstkomentarzaZnak"/>
    <w:uiPriority w:val="99"/>
    <w:semiHidden/>
    <w:unhideWhenUsed/>
    <w:rsid w:val="00C417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1781"/>
    <w:rPr>
      <w:sz w:val="20"/>
      <w:szCs w:val="20"/>
    </w:rPr>
  </w:style>
  <w:style w:type="paragraph" w:styleId="Tematkomentarza">
    <w:name w:val="annotation subject"/>
    <w:basedOn w:val="Tekstkomentarza"/>
    <w:next w:val="Tekstkomentarza"/>
    <w:link w:val="TematkomentarzaZnak"/>
    <w:uiPriority w:val="99"/>
    <w:semiHidden/>
    <w:unhideWhenUsed/>
    <w:rsid w:val="00C41781"/>
    <w:rPr>
      <w:b/>
      <w:bCs/>
    </w:rPr>
  </w:style>
  <w:style w:type="character" w:customStyle="1" w:styleId="TematkomentarzaZnak">
    <w:name w:val="Temat komentarza Znak"/>
    <w:basedOn w:val="TekstkomentarzaZnak"/>
    <w:link w:val="Tematkomentarza"/>
    <w:uiPriority w:val="99"/>
    <w:semiHidden/>
    <w:rsid w:val="00C41781"/>
    <w:rPr>
      <w:b/>
      <w:bCs/>
      <w:sz w:val="20"/>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nkietapfp.fairplay.pl/pfp_deklaracja.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irplay.pl/wp-content/uploads/2023/01/Regulamin_PFP_2023.pdf" TargetMode="External"/><Relationship Id="rId5" Type="http://schemas.openxmlformats.org/officeDocument/2006/relationships/footnotes" Target="footnotes.xml"/><Relationship Id="rId10" Type="http://schemas.openxmlformats.org/officeDocument/2006/relationships/hyperlink" Target="http://www.fairplay.pl" TargetMode="External"/><Relationship Id="rId4" Type="http://schemas.openxmlformats.org/officeDocument/2006/relationships/webSettings" Target="webSettings.xml"/><Relationship Id="rId9" Type="http://schemas.openxmlformats.org/officeDocument/2006/relationships/hyperlink" Target="https://fairplay.pl/wp-content/uploads/2023/01/Biul_1_2023.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r@fairpla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Bhv4Mytvj7mRmCKyQCK9hsrXUQ==">AMUW2mWxkALkzsA/fGDRR0potl+OwTnyiQRuZQfkYGaV4+XbiNj2JMTH/OqFbzABIDZ2cOPlxuXtuyDZ+yeiDSGLlBFU895igmOaRJtd3C5YyLMMyyCf3Wc=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6184</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Public Relations</cp:lastModifiedBy>
  <cp:revision>3</cp:revision>
  <dcterms:created xsi:type="dcterms:W3CDTF">2023-04-07T15:07:00Z</dcterms:created>
  <dcterms:modified xsi:type="dcterms:W3CDTF">2023-05-10T09:56:00Z</dcterms:modified>
</cp:coreProperties>
</file>